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c6e"/>
          <w:sz w:val="52"/>
          <w:szCs w:val="52"/>
          <w:rtl w:val="0"/>
        </w:rPr>
        <w:t xml:space="preserve">Yasmim Essmael Reusing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4"/>
          <w:szCs w:val="24"/>
          <w:rtl w:val="0"/>
        </w:rPr>
        <w:t xml:space="preserve">Compradora Internacional  |  Comércio Exterior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São Paulo, SP  |  +55 14 99867-7306  |  yreusing@gmail.com  |  linkedin.com/in/yasmimreusing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1a3c6e" w:space="0" w:sz="8" w:val="single"/>
        </w:pBd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c6e"/>
          <w:sz w:val="24"/>
          <w:szCs w:val="24"/>
          <w:rtl w:val="0"/>
        </w:rPr>
        <w:t xml:space="preserve">SOBRE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100" w:lineRule="auto"/>
        <w:rPr/>
      </w:pPr>
      <w:r w:rsidDel="00000000" w:rsidR="00000000" w:rsidRPr="00000000">
        <w:rPr>
          <w:rFonts w:ascii="Arial" w:cs="Arial" w:eastAsia="Arial" w:hAnsi="Arial"/>
          <w:color w:val="2e2e2e"/>
          <w:sz w:val="20"/>
          <w:szCs w:val="20"/>
          <w:rtl w:val="0"/>
        </w:rPr>
        <w:t xml:space="preserve">Compradora Internacional com experiência end-to-end em importação, conformidade documental e negociação de custos logísticos. Domínio de Siscomex/Portal Único (DUIMP), classificação fiscal NCM, cálculo de tributos (II, IPI, PIS, COFINS, ICMS e AFRMM) e análise de KPIs via Power BI. Na Takeda Pharma, liderou as primeiras importações da vacina contra a dengue junto ao Ministério da Saúde, atuando como interface estratégica entre Supply Chain, fornecedores internacionais e órgãos regulatórios. Inglês avançado para negociações internacionais.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1a3c6e" w:space="0" w:sz="8" w:val="single"/>
        </w:pBd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c6e"/>
          <w:sz w:val="24"/>
          <w:szCs w:val="24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9360"/>
        </w:tabs>
        <w:spacing w:after="4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2e2e"/>
          <w:sz w:val="22"/>
          <w:szCs w:val="22"/>
          <w:rtl w:val="0"/>
        </w:rPr>
        <w:t xml:space="preserve">Takeda Pharma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Novembro 2023 – 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c6e"/>
          <w:sz w:val="21"/>
          <w:szCs w:val="21"/>
          <w:rtl w:val="0"/>
        </w:rPr>
        <w:t xml:space="preserve">Analista de Compras Internacionais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 |  São Paulo,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Gerenciou processos de importação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end-to-end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 — da emissão do pedido ao desembaraço aduaneiro — garantindo conformidade documental (Invoice, Packing List, BL, DI/DUIMP) e cumprimento de prazos.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Protagonizou as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primeiras importações da vacina contra a dengue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 no Brasil, construindo o fluxo operacional inédito junto ao Ministério da Saúde em regime de licitação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Durante os primeiros 7 meses, assumiu os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processos de importação sob responsabilidade da Coordenadora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 de Comércio Exterior em cobertura de licença maternidade, mantendo plena operação das demandas junto ao Ministério da Saúde.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Realizou análise de custos de importação incluindo tributos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II, IPI, PIS, COFINS, ICMS, AFRMM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), despesas logísticas e formação de preço, subsidiando decisões estratégicas de compra.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Desenvolveu e monitorou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KPIs de importação em Power BI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, propondo melhorias contínuas nos processos e identificando oportunidades de redução de custo.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Atuou como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interface entre Supply Chain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, fornecedores internacionais e órgãos governamentais, assegurando alinhamento de prazos, demandas e conformidade regulatória.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Conduziu negociações estratégicas de fretes e custos logísticos em casos críticos, desenvolvendo soluções customizadas para urgências e restrições regulatórias.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Efetuou conferência e validação documental de processos de importação, operando no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Siscomex e Portal Único (DUIMP)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 conforme legislação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9360"/>
        </w:tabs>
        <w:spacing w:after="4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2e2e"/>
          <w:sz w:val="22"/>
          <w:szCs w:val="22"/>
          <w:rtl w:val="0"/>
        </w:rPr>
        <w:t xml:space="preserve">Special Dog Company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Outubro 2022 – Outubro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c6e"/>
          <w:sz w:val="21"/>
          <w:szCs w:val="21"/>
          <w:rtl w:val="0"/>
        </w:rPr>
        <w:t xml:space="preserve">Estagiária de Comércio Exterior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 |  Santa Cruz do Rio Pardo,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Executou processos de importação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end-to-end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: confecção e conferência de documentos (Invoice, Packing List, BL, Certificados de Origem, LI), monitoramento de desembaraço aduaneiro e liberação de carga.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Realizou simulações de custo prévio e fechamento de custos de importação, analisando viabilidade financeira das operações.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Garantiu conformidade regulatória com MAPA e legislação dos países importadores, assegurando compliance nas operações internacionais.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Cotou e negociou fretes internacionais, otimizando custos logísticos e minimizando despesas de armazenagem.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Representou a empresa na rodada de negócios com a África do Sul promovida pela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ApexBrasil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360"/>
        </w:tabs>
        <w:spacing w:after="4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2e2e"/>
          <w:sz w:val="22"/>
          <w:szCs w:val="22"/>
          <w:rtl w:val="0"/>
        </w:rPr>
        <w:t xml:space="preserve">Wizard by Pearson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Junho 2022 – Janeiro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c6e"/>
          <w:sz w:val="21"/>
          <w:szCs w:val="21"/>
          <w:rtl w:val="0"/>
        </w:rPr>
        <w:t xml:space="preserve">Professora de Inglês – Business English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 |  São Paulo,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2e"/>
          <w:sz w:val="20"/>
          <w:szCs w:val="20"/>
          <w:u w:val="none"/>
          <w:shd w:fill="auto" w:val="clear"/>
          <w:vertAlign w:val="baseline"/>
          <w:rtl w:val="0"/>
        </w:rPr>
        <w:t xml:space="preserve">Ministrou aulas de Business English para público adulto corporativo, consolidando fluência no idioma para negociações e comunicação internacional.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1a3c6e" w:space="0" w:sz="8" w:val="single"/>
        </w:pBd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c6e"/>
          <w:sz w:val="24"/>
          <w:szCs w:val="24"/>
          <w:rtl w:val="0"/>
        </w:rPr>
        <w:t xml:space="preserve">COMPETÊNCIAS TÉCNICAS</w:t>
      </w:r>
      <w:r w:rsidDel="00000000" w:rsidR="00000000" w:rsidRPr="00000000">
        <w:rPr>
          <w:rtl w:val="0"/>
        </w:rPr>
      </w:r>
    </w:p>
    <w:tbl>
      <w:tblPr>
        <w:tblStyle w:val="Table1"/>
        <w:tblW w:w="95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0"/>
        <w:gridCol w:w="160"/>
        <w:gridCol w:w="1900"/>
        <w:gridCol w:w="160"/>
        <w:gridCol w:w="1900"/>
        <w:gridCol w:w="160"/>
        <w:gridCol w:w="1900"/>
        <w:gridCol w:w="160"/>
        <w:gridCol w:w="1320"/>
        <w:tblGridChange w:id="0">
          <w:tblGrid>
            <w:gridCol w:w="1900"/>
            <w:gridCol w:w="160"/>
            <w:gridCol w:w="1900"/>
            <w:gridCol w:w="160"/>
            <w:gridCol w:w="1900"/>
            <w:gridCol w:w="160"/>
            <w:gridCol w:w="1900"/>
            <w:gridCol w:w="160"/>
            <w:gridCol w:w="1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c6e"/>
                <w:sz w:val="18"/>
                <w:szCs w:val="18"/>
                <w:rtl w:val="0"/>
              </w:rPr>
              <w:t xml:space="preserve">Power 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c6e"/>
                <w:sz w:val="18"/>
                <w:szCs w:val="18"/>
                <w:rtl w:val="0"/>
              </w:rPr>
              <w:t xml:space="preserve">Siscomex / DUIMP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c6e"/>
                <w:sz w:val="18"/>
                <w:szCs w:val="18"/>
                <w:rtl w:val="0"/>
              </w:rPr>
              <w:t xml:space="preserve">Excel Avançado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c6e"/>
                <w:sz w:val="18"/>
                <w:szCs w:val="18"/>
                <w:rtl w:val="0"/>
              </w:rPr>
              <w:t xml:space="preserve">SQL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c6e"/>
                <w:sz w:val="18"/>
                <w:szCs w:val="18"/>
                <w:rtl w:val="0"/>
              </w:rPr>
              <w:t xml:space="preserve">Classificação NCM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c6e"/>
                <w:sz w:val="18"/>
                <w:szCs w:val="18"/>
                <w:rtl w:val="0"/>
              </w:rPr>
              <w:t xml:space="preserve">Tributos Importação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c6e"/>
                <w:sz w:val="18"/>
                <w:szCs w:val="18"/>
                <w:rtl w:val="0"/>
              </w:rPr>
              <w:t xml:space="preserve">Drawback / Reg. Especiais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c6e"/>
                <w:sz w:val="18"/>
                <w:szCs w:val="18"/>
                <w:rtl w:val="0"/>
              </w:rPr>
              <w:t xml:space="preserve">Tableau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c6e"/>
                <w:sz w:val="18"/>
                <w:szCs w:val="18"/>
                <w:rtl w:val="0"/>
              </w:rPr>
              <w:t xml:space="preserve">KPIs &amp; Analytics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c6e"/>
                <w:sz w:val="18"/>
                <w:szCs w:val="18"/>
                <w:rtl w:val="0"/>
              </w:rPr>
              <w:t xml:space="preserve">Negociação Int'l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c6e"/>
                <w:sz w:val="18"/>
                <w:szCs w:val="18"/>
                <w:rtl w:val="0"/>
              </w:rPr>
              <w:t xml:space="preserve">Supply Chain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c6e"/>
                <w:sz w:val="18"/>
                <w:szCs w:val="18"/>
                <w:rtl w:val="0"/>
              </w:rPr>
              <w:t xml:space="preserve">TOTVS Protheus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Bdr>
          <w:bottom w:color="1a3c6e" w:space="0" w:sz="8" w:val="single"/>
        </w:pBd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c6e"/>
          <w:sz w:val="24"/>
          <w:szCs w:val="24"/>
          <w:rtl w:val="0"/>
        </w:rPr>
        <w:t xml:space="preserve">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360"/>
        </w:tabs>
        <w:spacing w:after="4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2e2e"/>
          <w:sz w:val="21"/>
          <w:szCs w:val="21"/>
          <w:rtl w:val="0"/>
        </w:rPr>
        <w:t xml:space="preserve">Tecnologia em Comércio Exterior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2019 –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Universidade Anhembi Morumbi — São Paulo,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bottom w:color="1a3c6e" w:space="0" w:sz="8" w:val="single"/>
        </w:pBd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c6e"/>
          <w:sz w:val="24"/>
          <w:szCs w:val="24"/>
          <w:rtl w:val="0"/>
        </w:rPr>
        <w:t xml:space="preserve">CERTIFICAÇÕES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right" w:leader="none" w:pos="9360"/>
        </w:tabs>
        <w:spacing w:after="4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2e2e"/>
          <w:sz w:val="21"/>
          <w:szCs w:val="21"/>
          <w:rtl w:val="0"/>
        </w:rPr>
        <w:t xml:space="preserve">Certificado Profissional em Análise de Dados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Google —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Excel, SQL, Tableau e Linguagem R aplicados à análise de dados e geração de insights de negócio.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leader="none" w:pos="9360"/>
        </w:tabs>
        <w:spacing w:after="4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2e2e"/>
          <w:sz w:val="21"/>
          <w:szCs w:val="21"/>
          <w:rtl w:val="0"/>
        </w:rPr>
        <w:t xml:space="preserve">Assistente de Comércio Exterior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Aduaneiras —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Procedimentos alfandegários, regimes aduaneiros especiais, classificação NCM e gestão de documentação comercial.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1a3c6e" w:space="0" w:sz="8" w:val="single"/>
        </w:pBdr>
        <w:spacing w:after="8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c6e"/>
          <w:sz w:val="24"/>
          <w:szCs w:val="24"/>
          <w:rtl w:val="0"/>
        </w:rPr>
        <w:t xml:space="preserve">IDIOMAS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6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2e2e"/>
          <w:sz w:val="20"/>
          <w:szCs w:val="20"/>
          <w:rtl w:val="0"/>
        </w:rPr>
        <w:t xml:space="preserve">Inglês: </w:t>
      </w:r>
      <w:r w:rsidDel="00000000" w:rsidR="00000000" w:rsidRPr="00000000">
        <w:rPr>
          <w:rFonts w:ascii="Arial" w:cs="Arial" w:eastAsia="Arial" w:hAnsi="Arial"/>
          <w:color w:val="2e2e2e"/>
          <w:sz w:val="20"/>
          <w:szCs w:val="20"/>
          <w:rtl w:val="0"/>
        </w:rPr>
        <w:t xml:space="preserve">Avançado (C1) — negociações e comunicação corporativa internacional  |  </w:t>
      </w:r>
      <w:r w:rsidDel="00000000" w:rsidR="00000000" w:rsidRPr="00000000">
        <w:rPr>
          <w:rFonts w:ascii="Arial" w:cs="Arial" w:eastAsia="Arial" w:hAnsi="Arial"/>
          <w:b w:val="1"/>
          <w:bCs w:val="1"/>
          <w:color w:val="2e2e2e"/>
          <w:sz w:val="20"/>
          <w:szCs w:val="20"/>
          <w:rtl w:val="0"/>
        </w:rPr>
        <w:t xml:space="preserve">Português: </w:t>
      </w:r>
      <w:r w:rsidDel="00000000" w:rsidR="00000000" w:rsidRPr="00000000">
        <w:rPr>
          <w:rFonts w:ascii="Arial" w:cs="Arial" w:eastAsia="Arial" w:hAnsi="Arial"/>
          <w:color w:val="2e2e2e"/>
          <w:sz w:val="20"/>
          <w:szCs w:val="20"/>
          <w:rtl w:val="0"/>
        </w:rPr>
        <w:t xml:space="preserve">Nativo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200" w:right="12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▸"/>
      <w:lvlJc w:val="left"/>
      <w:pPr>
        <w:ind w:left="480" w:hanging="2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